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3980B" w14:textId="41095A19" w:rsidR="00BB7733" w:rsidRPr="006025BF" w:rsidRDefault="00BB7733" w:rsidP="00BB7733">
      <w:pPr>
        <w:rPr>
          <w:rFonts w:ascii="Open Sans" w:hAnsi="Open Sans" w:cs="Gill Sans"/>
          <w:lang w:val="fr-CA"/>
        </w:rPr>
      </w:pPr>
    </w:p>
    <w:p w14:paraId="59A030AB" w14:textId="77777777" w:rsidR="008E2C09" w:rsidRPr="006025BF" w:rsidRDefault="008E2C09" w:rsidP="00BB7733">
      <w:pPr>
        <w:rPr>
          <w:rFonts w:ascii="Open Sans" w:hAnsi="Open Sans" w:cs="Gill Sans"/>
          <w:lang w:val="fr-CA"/>
        </w:rPr>
      </w:pPr>
    </w:p>
    <w:p w14:paraId="7177F798" w14:textId="77777777" w:rsidR="008E2C09" w:rsidRPr="006025BF" w:rsidRDefault="008E2C09" w:rsidP="00BB7733">
      <w:pPr>
        <w:rPr>
          <w:rFonts w:ascii="Open Sans" w:hAnsi="Open Sans" w:cs="Gill Sans"/>
          <w:lang w:val="fr-CA"/>
        </w:rPr>
      </w:pPr>
    </w:p>
    <w:p w14:paraId="6201CBAE" w14:textId="77777777" w:rsidR="005705EF" w:rsidRPr="006025BF" w:rsidRDefault="005705EF" w:rsidP="00BB7733">
      <w:pPr>
        <w:rPr>
          <w:rFonts w:ascii="Open Sans" w:hAnsi="Open Sans" w:cs="Gill Sans"/>
          <w:lang w:val="fr-CA"/>
        </w:rPr>
      </w:pPr>
    </w:p>
    <w:p w14:paraId="25E3E76F" w14:textId="77777777" w:rsidR="008E2C09" w:rsidRPr="006025BF" w:rsidRDefault="008E2C09" w:rsidP="005705EF">
      <w:pPr>
        <w:pStyle w:val="ListParagraph"/>
        <w:ind w:left="360"/>
        <w:rPr>
          <w:rFonts w:ascii="Open Sans" w:hAnsi="Open Sans" w:cs="Gill Sans"/>
          <w:color w:val="42484E"/>
          <w:sz w:val="22"/>
          <w:szCs w:val="22"/>
          <w:lang w:val="fr-CA"/>
        </w:rPr>
      </w:pPr>
    </w:p>
    <w:p w14:paraId="281DDEC2" w14:textId="77777777" w:rsidR="00260112" w:rsidRPr="006025BF" w:rsidRDefault="00260112" w:rsidP="00260112">
      <w:pPr>
        <w:pStyle w:val="ListParagraph"/>
        <w:numPr>
          <w:ilvl w:val="0"/>
          <w:numId w:val="13"/>
        </w:numPr>
        <w:rPr>
          <w:rFonts w:ascii="Open Sans" w:hAnsi="Open Sans" w:cs="Gill Sans"/>
          <w:color w:val="42484E"/>
          <w:lang w:val="fr-CA" w:bidi="fr-CA"/>
        </w:rPr>
      </w:pPr>
      <w:r w:rsidRPr="006025BF">
        <w:rPr>
          <w:rFonts w:ascii="Open Sans" w:hAnsi="Open Sans" w:cs="Gill Sans"/>
          <w:color w:val="42484E"/>
          <w:lang w:val="fr-CA" w:bidi="fr-CA"/>
        </w:rPr>
        <w:t>Vous recevrez une rente mensuelle à vie. Votre rente est déterminée selon une formule qui prend en compte la période pendant laquelle vous avez enseigné et le salaire moyen de vos cinq meilleures années.</w:t>
      </w:r>
    </w:p>
    <w:p w14:paraId="1CF78415" w14:textId="77777777" w:rsidR="00260112" w:rsidRPr="006025BF" w:rsidRDefault="00260112" w:rsidP="00260112">
      <w:pPr>
        <w:rPr>
          <w:rFonts w:ascii="Open Sans" w:hAnsi="Open Sans" w:cs="Gill Sans"/>
          <w:color w:val="42484E"/>
          <w:lang w:val="fr-CA" w:bidi="fr-CA"/>
        </w:rPr>
      </w:pPr>
    </w:p>
    <w:p w14:paraId="5E92D7AB" w14:textId="77777777" w:rsidR="00260112" w:rsidRPr="006025BF" w:rsidRDefault="00260112" w:rsidP="00260112">
      <w:pPr>
        <w:pStyle w:val="ListParagraph"/>
        <w:numPr>
          <w:ilvl w:val="0"/>
          <w:numId w:val="13"/>
        </w:numPr>
        <w:rPr>
          <w:rFonts w:ascii="Open Sans" w:hAnsi="Open Sans" w:cs="Gill Sans"/>
          <w:color w:val="42484E"/>
          <w:lang w:val="fr-CA" w:bidi="fr-CA"/>
        </w:rPr>
      </w:pPr>
      <w:r w:rsidRPr="006025BF">
        <w:rPr>
          <w:rFonts w:ascii="Open Sans" w:hAnsi="Open Sans" w:cs="Gill Sans"/>
          <w:color w:val="42484E"/>
          <w:lang w:val="fr-CA" w:bidi="fr-CA"/>
        </w:rPr>
        <w:t xml:space="preserve">Si vous décédez après avoir pris votre retraite, votre conjoint admissible touchera une rente de survivant. </w:t>
      </w:r>
    </w:p>
    <w:p w14:paraId="4268A43F" w14:textId="77777777" w:rsidR="00260112" w:rsidRPr="006025BF" w:rsidRDefault="00260112" w:rsidP="00260112">
      <w:pPr>
        <w:pStyle w:val="ListParagraph"/>
        <w:numPr>
          <w:ilvl w:val="1"/>
          <w:numId w:val="13"/>
        </w:numPr>
        <w:rPr>
          <w:rFonts w:ascii="Open Sans" w:hAnsi="Open Sans" w:cs="Gill Sans"/>
          <w:color w:val="42484E"/>
          <w:lang w:val="fr-CA" w:bidi="fr-CA"/>
        </w:rPr>
      </w:pPr>
      <w:r w:rsidRPr="006025BF">
        <w:rPr>
          <w:rFonts w:ascii="Open Sans" w:hAnsi="Open Sans" w:cs="Gill Sans"/>
          <w:color w:val="42484E"/>
          <w:lang w:val="fr-CA" w:bidi="fr-CA"/>
        </w:rPr>
        <w:t>La rente de survivant est fixée, par défaut, à 60 %, mais vous pouvez l’augmenter jusqu’à 75 % ou ramener ce montant à 50 %.</w:t>
      </w:r>
    </w:p>
    <w:p w14:paraId="4371D8A8" w14:textId="77777777" w:rsidR="00260112" w:rsidRPr="006025BF" w:rsidRDefault="00260112" w:rsidP="00260112">
      <w:pPr>
        <w:pStyle w:val="ListParagraph"/>
        <w:numPr>
          <w:ilvl w:val="1"/>
          <w:numId w:val="13"/>
        </w:numPr>
        <w:rPr>
          <w:rFonts w:ascii="Open Sans" w:hAnsi="Open Sans" w:cs="Gill Sans"/>
          <w:color w:val="42484E"/>
          <w:lang w:val="fr-CA" w:bidi="fr-CA"/>
        </w:rPr>
      </w:pPr>
      <w:r w:rsidRPr="006025BF">
        <w:rPr>
          <w:rFonts w:ascii="Open Sans" w:hAnsi="Open Sans" w:cs="Gill Sans"/>
          <w:color w:val="42484E"/>
          <w:lang w:val="fr-CA" w:bidi="fr-CA"/>
        </w:rPr>
        <w:t xml:space="preserve">Au moins deux ans avant de prendre votre retraite, augmentez ce montant à 75 % pour éviter d’avoir à passer un examen médical lorsque vous faites votre demande de rente. Vous pouvez toujours ramener ce montant à 60 % avant de prendre votre retraite. </w:t>
      </w:r>
    </w:p>
    <w:p w14:paraId="019181B9" w14:textId="3EDE9018" w:rsidR="00260112" w:rsidRPr="00495816" w:rsidRDefault="00260112" w:rsidP="00260112">
      <w:pPr>
        <w:pStyle w:val="ListParagraph"/>
        <w:numPr>
          <w:ilvl w:val="1"/>
          <w:numId w:val="13"/>
        </w:numPr>
        <w:rPr>
          <w:rFonts w:ascii="Open Sans" w:hAnsi="Open Sans" w:cs="Gill Sans"/>
          <w:lang w:val="fr-CA" w:bidi="fr-CA"/>
        </w:rPr>
      </w:pPr>
      <w:r w:rsidRPr="00495816">
        <w:rPr>
          <w:rFonts w:ascii="Open Sans" w:hAnsi="Open Sans" w:cs="Gill Sans"/>
          <w:lang w:val="fr-CA" w:bidi="fr-CA"/>
        </w:rPr>
        <w:t xml:space="preserve">Si vous n’avez pas de conjoint admissible, votre survivant touchera </w:t>
      </w:r>
      <w:r w:rsidR="009B4950">
        <w:rPr>
          <w:rFonts w:ascii="Open Sans" w:hAnsi="Open Sans" w:cs="Gill Sans"/>
          <w:lang w:val="fr-CA" w:bidi="fr-CA"/>
        </w:rPr>
        <w:t xml:space="preserve"> </w:t>
      </w:r>
      <w:r w:rsidRPr="00495816">
        <w:rPr>
          <w:rFonts w:ascii="Open Sans" w:hAnsi="Open Sans" w:cs="Gill Sans"/>
          <w:lang w:val="fr-CA" w:bidi="fr-CA"/>
        </w:rPr>
        <w:t xml:space="preserve">une rente, </w:t>
      </w:r>
      <w:r w:rsidR="006025BF" w:rsidRPr="00495816">
        <w:rPr>
          <w:rFonts w:ascii="Open Sans" w:hAnsi="Open Sans" w:cs="Gill Sans"/>
          <w:lang w:val="fr-CA" w:bidi="fr-CA"/>
        </w:rPr>
        <w:t>après</w:t>
      </w:r>
      <w:r w:rsidRPr="00495816">
        <w:rPr>
          <w:rFonts w:ascii="Open Sans" w:hAnsi="Open Sans" w:cs="Gill Sans"/>
          <w:lang w:val="fr-CA" w:bidi="fr-CA"/>
        </w:rPr>
        <w:t xml:space="preserve"> </w:t>
      </w:r>
      <w:r w:rsidR="006025BF" w:rsidRPr="00495816">
        <w:rPr>
          <w:rFonts w:ascii="Open Sans" w:hAnsi="Open Sans" w:cs="Gill Sans"/>
          <w:lang w:val="fr-CA" w:bidi="fr-CA"/>
        </w:rPr>
        <w:t>le rajustement relatif</w:t>
      </w:r>
      <w:r w:rsidRPr="00495816">
        <w:rPr>
          <w:rFonts w:ascii="Open Sans" w:hAnsi="Open Sans" w:cs="Gill Sans"/>
          <w:lang w:val="fr-CA" w:bidi="fr-CA"/>
        </w:rPr>
        <w:t xml:space="preserve"> </w:t>
      </w:r>
      <w:r w:rsidR="006025BF" w:rsidRPr="00495816">
        <w:rPr>
          <w:rFonts w:ascii="Open Sans" w:hAnsi="Open Sans" w:cs="Gill Sans"/>
          <w:lang w:val="fr-CA" w:bidi="fr-CA"/>
        </w:rPr>
        <w:t xml:space="preserve">au </w:t>
      </w:r>
      <w:r w:rsidRPr="00495816">
        <w:rPr>
          <w:rFonts w:ascii="Open Sans" w:hAnsi="Open Sans" w:cs="Gill Sans"/>
          <w:lang w:val="fr-CA" w:bidi="fr-CA"/>
        </w:rPr>
        <w:t>RPC, pour le reste de la période de la rente garantie 10 ans ou votre succession recevra une somme globale.</w:t>
      </w:r>
    </w:p>
    <w:p w14:paraId="462A3DC5" w14:textId="77777777" w:rsidR="00260112" w:rsidRPr="006025BF" w:rsidRDefault="00260112" w:rsidP="00260112">
      <w:pPr>
        <w:rPr>
          <w:rFonts w:ascii="Open Sans" w:hAnsi="Open Sans" w:cs="Gill Sans"/>
          <w:color w:val="42484E"/>
          <w:lang w:val="fr-CA" w:bidi="fr-CA"/>
        </w:rPr>
      </w:pPr>
    </w:p>
    <w:p w14:paraId="5D9084CF" w14:textId="77777777" w:rsidR="00260112" w:rsidRPr="006025BF" w:rsidRDefault="00260112" w:rsidP="00260112">
      <w:pPr>
        <w:pStyle w:val="ListParagraph"/>
        <w:numPr>
          <w:ilvl w:val="0"/>
          <w:numId w:val="13"/>
        </w:numPr>
        <w:rPr>
          <w:rFonts w:ascii="Open Sans" w:hAnsi="Open Sans" w:cs="Gill Sans"/>
          <w:color w:val="42484E"/>
          <w:lang w:val="fr-CA" w:bidi="fr-CA"/>
        </w:rPr>
      </w:pPr>
      <w:r w:rsidRPr="006025BF">
        <w:rPr>
          <w:rFonts w:ascii="Open Sans" w:hAnsi="Open Sans" w:cs="Gill Sans"/>
          <w:color w:val="42484E"/>
          <w:lang w:val="fr-CA" w:bidi="fr-CA"/>
        </w:rPr>
        <w:t>Vous avez droit à une rente sans réduction quand vous atteignez 65 ans ou le facteur 85 (âge + années admissibles = 85).</w:t>
      </w:r>
    </w:p>
    <w:p w14:paraId="0C43E121" w14:textId="77777777" w:rsidR="00260112" w:rsidRPr="006025BF" w:rsidRDefault="00260112" w:rsidP="00260112">
      <w:pPr>
        <w:pStyle w:val="ListParagraph"/>
        <w:numPr>
          <w:ilvl w:val="1"/>
          <w:numId w:val="13"/>
        </w:numPr>
        <w:rPr>
          <w:rFonts w:ascii="Open Sans" w:hAnsi="Open Sans" w:cs="Gill Sans"/>
          <w:color w:val="42484E"/>
          <w:lang w:val="fr-CA" w:bidi="fr-CA"/>
        </w:rPr>
      </w:pPr>
      <w:r w:rsidRPr="006025BF">
        <w:rPr>
          <w:rFonts w:ascii="Open Sans" w:hAnsi="Open Sans" w:cs="Gill Sans"/>
          <w:color w:val="42484E"/>
          <w:lang w:val="fr-CA" w:bidi="fr-CA"/>
        </w:rPr>
        <w:t>10 jours = 1 année admissible (pour les années scolaires après le 31 décembre 1996)</w:t>
      </w:r>
    </w:p>
    <w:p w14:paraId="23205FFE" w14:textId="77777777" w:rsidR="00260112" w:rsidRPr="006025BF" w:rsidRDefault="00260112" w:rsidP="00260112">
      <w:pPr>
        <w:pStyle w:val="ListParagraph"/>
        <w:numPr>
          <w:ilvl w:val="1"/>
          <w:numId w:val="13"/>
        </w:numPr>
        <w:rPr>
          <w:rFonts w:ascii="Open Sans" w:hAnsi="Open Sans" w:cs="Gill Sans"/>
          <w:color w:val="42484E"/>
          <w:lang w:val="fr-CA" w:bidi="fr-CA"/>
        </w:rPr>
      </w:pPr>
      <w:r w:rsidRPr="006025BF">
        <w:rPr>
          <w:rFonts w:ascii="Open Sans" w:hAnsi="Open Sans" w:cs="Gill Sans"/>
          <w:color w:val="42484E"/>
          <w:lang w:val="fr-CA" w:bidi="fr-CA"/>
        </w:rPr>
        <w:t>20 jours = 1 année admissible (pour les années scolaires comprises entre le 1</w:t>
      </w:r>
      <w:r w:rsidRPr="006025BF">
        <w:rPr>
          <w:rFonts w:ascii="Open Sans" w:hAnsi="Open Sans" w:cs="Gill Sans"/>
          <w:color w:val="42484E"/>
          <w:vertAlign w:val="superscript"/>
          <w:lang w:val="fr-CA" w:bidi="fr-CA"/>
        </w:rPr>
        <w:t>er</w:t>
      </w:r>
      <w:r w:rsidRPr="006025BF">
        <w:rPr>
          <w:rFonts w:ascii="Open Sans" w:hAnsi="Open Sans" w:cs="Gill Sans"/>
          <w:color w:val="42484E"/>
          <w:lang w:val="fr-CA" w:bidi="fr-CA"/>
        </w:rPr>
        <w:t> septembre 1990 et le 31 décembre 1996)</w:t>
      </w:r>
    </w:p>
    <w:p w14:paraId="2C0F652C" w14:textId="77777777" w:rsidR="00260112" w:rsidRPr="006025BF" w:rsidRDefault="00260112" w:rsidP="00260112">
      <w:pPr>
        <w:pStyle w:val="ListParagraph"/>
        <w:numPr>
          <w:ilvl w:val="1"/>
          <w:numId w:val="13"/>
        </w:numPr>
        <w:rPr>
          <w:rFonts w:ascii="Open Sans" w:hAnsi="Open Sans" w:cs="Gill Sans"/>
          <w:color w:val="42484E"/>
          <w:lang w:val="fr-CA" w:bidi="fr-CA"/>
        </w:rPr>
      </w:pPr>
      <w:r w:rsidRPr="006025BF">
        <w:rPr>
          <w:rFonts w:ascii="Open Sans" w:hAnsi="Open Sans" w:cs="Gill Sans"/>
          <w:color w:val="42484E"/>
          <w:lang w:val="fr-CA" w:bidi="fr-CA"/>
        </w:rPr>
        <w:t>Tout service décompté = 1 année admissible (pour les années scolaires avant le 1</w:t>
      </w:r>
      <w:r w:rsidRPr="006025BF">
        <w:rPr>
          <w:rFonts w:ascii="Open Sans" w:hAnsi="Open Sans" w:cs="Gill Sans"/>
          <w:color w:val="42484E"/>
          <w:vertAlign w:val="superscript"/>
          <w:lang w:val="fr-CA" w:bidi="fr-CA"/>
        </w:rPr>
        <w:t>er</w:t>
      </w:r>
      <w:r w:rsidRPr="006025BF">
        <w:rPr>
          <w:rFonts w:ascii="Open Sans" w:hAnsi="Open Sans" w:cs="Gill Sans"/>
          <w:color w:val="42484E"/>
          <w:lang w:val="fr-CA" w:bidi="fr-CA"/>
        </w:rPr>
        <w:t> septembre 1990)</w:t>
      </w:r>
    </w:p>
    <w:p w14:paraId="65A910EA" w14:textId="77777777" w:rsidR="00260112" w:rsidRPr="006025BF" w:rsidRDefault="00260112" w:rsidP="00260112">
      <w:pPr>
        <w:rPr>
          <w:rFonts w:ascii="Open Sans" w:hAnsi="Open Sans" w:cs="Gill Sans"/>
          <w:color w:val="42484E"/>
          <w:lang w:val="fr-CA" w:bidi="fr-CA"/>
        </w:rPr>
      </w:pPr>
    </w:p>
    <w:p w14:paraId="21FAC93C" w14:textId="45F891CD" w:rsidR="00260112" w:rsidRPr="006025BF" w:rsidRDefault="00260112" w:rsidP="00260112">
      <w:pPr>
        <w:pStyle w:val="ListParagraph"/>
        <w:numPr>
          <w:ilvl w:val="0"/>
          <w:numId w:val="13"/>
        </w:numPr>
        <w:rPr>
          <w:rFonts w:ascii="Open Sans" w:hAnsi="Open Sans" w:cs="Gill Sans"/>
          <w:color w:val="42484E"/>
          <w:lang w:val="fr-CA" w:bidi="fr-CA"/>
        </w:rPr>
      </w:pPr>
      <w:r w:rsidRPr="00495816">
        <w:rPr>
          <w:rFonts w:ascii="Open Sans" w:hAnsi="Open Sans" w:cs="Gill Sans"/>
          <w:lang w:val="fr-CA" w:bidi="fr-CA"/>
        </w:rPr>
        <w:t xml:space="preserve">Votre rente du RREO est coordonnée avec la rente du Régime de pensions du Canada (RPC) et sera </w:t>
      </w:r>
      <w:r w:rsidR="006025BF" w:rsidRPr="00495816">
        <w:rPr>
          <w:rFonts w:ascii="Open Sans" w:hAnsi="Open Sans" w:cs="Gill Sans"/>
          <w:lang w:val="fr-CA" w:bidi="fr-CA"/>
        </w:rPr>
        <w:t>rajustée</w:t>
      </w:r>
      <w:r w:rsidRPr="00495816">
        <w:rPr>
          <w:rFonts w:ascii="Open Sans" w:hAnsi="Open Sans" w:cs="Gill Sans"/>
          <w:lang w:val="fr-CA" w:bidi="fr-CA"/>
        </w:rPr>
        <w:t xml:space="preserve"> lorsque vous atteindrez l’âge de 65 ans (ou lorsque vous commencerez à toucher une rente d’invalidité du RPC), et ce, peu importe le moment où vous commencez à toucher votre rente du RPC.</w:t>
      </w:r>
    </w:p>
    <w:p w14:paraId="0BAA8F75" w14:textId="77777777" w:rsidR="00260112" w:rsidRDefault="00260112" w:rsidP="00260112">
      <w:pPr>
        <w:rPr>
          <w:rFonts w:ascii="Open Sans" w:hAnsi="Open Sans" w:cs="Gill Sans"/>
          <w:color w:val="42484E"/>
          <w:lang w:val="fr-CA" w:bidi="fr-CA"/>
        </w:rPr>
      </w:pPr>
    </w:p>
    <w:p w14:paraId="62D71D71" w14:textId="77777777" w:rsidR="006025BF" w:rsidRDefault="006025BF" w:rsidP="00260112">
      <w:pPr>
        <w:rPr>
          <w:rFonts w:ascii="Open Sans" w:hAnsi="Open Sans" w:cs="Gill Sans"/>
          <w:color w:val="42484E"/>
          <w:lang w:val="fr-CA" w:bidi="fr-CA"/>
        </w:rPr>
      </w:pPr>
    </w:p>
    <w:p w14:paraId="7191613F" w14:textId="77777777" w:rsidR="006025BF" w:rsidRDefault="006025BF" w:rsidP="00260112">
      <w:pPr>
        <w:rPr>
          <w:rFonts w:ascii="Open Sans" w:hAnsi="Open Sans" w:cs="Gill Sans"/>
          <w:color w:val="42484E"/>
          <w:lang w:val="fr-CA" w:bidi="fr-CA"/>
        </w:rPr>
      </w:pPr>
    </w:p>
    <w:p w14:paraId="714CAEFC" w14:textId="77777777" w:rsidR="006025BF" w:rsidRDefault="006025BF" w:rsidP="00260112">
      <w:pPr>
        <w:rPr>
          <w:rFonts w:ascii="Open Sans" w:hAnsi="Open Sans" w:cs="Gill Sans"/>
          <w:color w:val="42484E"/>
          <w:lang w:val="fr-CA" w:bidi="fr-CA"/>
        </w:rPr>
      </w:pPr>
    </w:p>
    <w:p w14:paraId="25E1F88D" w14:textId="77777777" w:rsidR="006025BF" w:rsidRDefault="006025BF" w:rsidP="00260112">
      <w:pPr>
        <w:rPr>
          <w:rFonts w:ascii="Open Sans" w:hAnsi="Open Sans" w:cs="Gill Sans"/>
          <w:color w:val="42484E"/>
          <w:lang w:val="fr-CA" w:bidi="fr-CA"/>
        </w:rPr>
      </w:pPr>
    </w:p>
    <w:p w14:paraId="69090E90" w14:textId="77777777" w:rsidR="006025BF" w:rsidRDefault="006025BF" w:rsidP="00260112">
      <w:pPr>
        <w:rPr>
          <w:rFonts w:ascii="Open Sans" w:hAnsi="Open Sans" w:cs="Gill Sans"/>
          <w:color w:val="42484E"/>
          <w:lang w:val="fr-CA" w:bidi="fr-CA"/>
        </w:rPr>
      </w:pPr>
    </w:p>
    <w:p w14:paraId="1B80A63F" w14:textId="77777777" w:rsidR="006025BF" w:rsidRDefault="006025BF" w:rsidP="00260112">
      <w:pPr>
        <w:rPr>
          <w:rFonts w:ascii="Open Sans" w:hAnsi="Open Sans" w:cs="Gill Sans"/>
          <w:color w:val="42484E"/>
          <w:lang w:val="fr-CA" w:bidi="fr-CA"/>
        </w:rPr>
      </w:pPr>
    </w:p>
    <w:p w14:paraId="317682FF" w14:textId="77777777" w:rsidR="006025BF" w:rsidRDefault="006025BF" w:rsidP="00260112">
      <w:pPr>
        <w:rPr>
          <w:rFonts w:ascii="Open Sans" w:hAnsi="Open Sans" w:cs="Gill Sans"/>
          <w:color w:val="42484E"/>
          <w:lang w:val="fr-CA" w:bidi="fr-CA"/>
        </w:rPr>
      </w:pPr>
    </w:p>
    <w:p w14:paraId="2A8C4EC0" w14:textId="77777777" w:rsidR="006025BF" w:rsidRPr="006025BF" w:rsidRDefault="006025BF" w:rsidP="00260112">
      <w:pPr>
        <w:rPr>
          <w:rFonts w:ascii="Open Sans" w:hAnsi="Open Sans" w:cs="Gill Sans"/>
          <w:color w:val="42484E"/>
          <w:lang w:val="fr-CA" w:bidi="fr-CA"/>
        </w:rPr>
      </w:pPr>
    </w:p>
    <w:p w14:paraId="7959E142" w14:textId="77777777" w:rsidR="00260112" w:rsidRPr="006025BF" w:rsidRDefault="00260112" w:rsidP="006025BF">
      <w:pPr>
        <w:pStyle w:val="ListParagraph"/>
        <w:keepNext/>
        <w:keepLines/>
        <w:numPr>
          <w:ilvl w:val="0"/>
          <w:numId w:val="13"/>
        </w:numPr>
        <w:ind w:hanging="357"/>
        <w:rPr>
          <w:rFonts w:ascii="Open Sans" w:hAnsi="Open Sans" w:cs="Gill Sans"/>
          <w:color w:val="42484E"/>
          <w:lang w:val="fr-CA" w:bidi="fr-CA"/>
        </w:rPr>
      </w:pPr>
      <w:r w:rsidRPr="006025BF">
        <w:rPr>
          <w:rFonts w:ascii="Open Sans" w:hAnsi="Open Sans" w:cs="Gill Sans"/>
          <w:color w:val="42484E"/>
          <w:lang w:val="fr-CA" w:bidi="fr-CA"/>
        </w:rPr>
        <w:t xml:space="preserve">Vous pouvez maximiser ou augmenter votre rente en : </w:t>
      </w:r>
    </w:p>
    <w:p w14:paraId="082390C6" w14:textId="77777777" w:rsidR="00260112" w:rsidRPr="006025BF" w:rsidRDefault="00260112" w:rsidP="006025BF">
      <w:pPr>
        <w:pStyle w:val="ListParagraph"/>
        <w:keepNext/>
        <w:keepLines/>
        <w:numPr>
          <w:ilvl w:val="1"/>
          <w:numId w:val="13"/>
        </w:numPr>
        <w:ind w:hanging="357"/>
        <w:rPr>
          <w:rFonts w:ascii="Open Sans" w:hAnsi="Open Sans" w:cs="Gill Sans"/>
          <w:color w:val="42484E"/>
          <w:lang w:val="fr-CA" w:bidi="fr-CA"/>
        </w:rPr>
      </w:pPr>
      <w:r w:rsidRPr="006025BF">
        <w:rPr>
          <w:rFonts w:ascii="Open Sans" w:hAnsi="Open Sans" w:cs="Gill Sans"/>
          <w:color w:val="42484E"/>
          <w:lang w:val="fr-CA" w:bidi="fr-CA"/>
        </w:rPr>
        <w:t>travaillant plus longtemps et en accumulant ainsi plus de services décomptés (il n’y a aucune limite);</w:t>
      </w:r>
    </w:p>
    <w:p w14:paraId="5775AFB4" w14:textId="77777777" w:rsidR="00260112" w:rsidRPr="006025BF" w:rsidRDefault="00260112" w:rsidP="006025BF">
      <w:pPr>
        <w:pStyle w:val="ListParagraph"/>
        <w:keepNext/>
        <w:keepLines/>
        <w:numPr>
          <w:ilvl w:val="1"/>
          <w:numId w:val="13"/>
        </w:numPr>
        <w:ind w:hanging="357"/>
        <w:rPr>
          <w:rFonts w:ascii="Open Sans" w:hAnsi="Open Sans" w:cs="Gill Sans"/>
          <w:color w:val="42484E"/>
          <w:lang w:val="fr-CA" w:bidi="fr-CA"/>
        </w:rPr>
      </w:pPr>
      <w:r w:rsidRPr="006025BF">
        <w:rPr>
          <w:rFonts w:ascii="Open Sans" w:hAnsi="Open Sans" w:cs="Gill Sans"/>
          <w:color w:val="42484E"/>
          <w:lang w:val="fr-CA" w:bidi="fr-CA"/>
        </w:rPr>
        <w:t>rachetant un congé admissible;</w:t>
      </w:r>
    </w:p>
    <w:p w14:paraId="58E279EF" w14:textId="77777777" w:rsidR="00260112" w:rsidRPr="006025BF" w:rsidRDefault="00260112" w:rsidP="006025BF">
      <w:pPr>
        <w:pStyle w:val="ListParagraph"/>
        <w:keepNext/>
        <w:keepLines/>
        <w:numPr>
          <w:ilvl w:val="1"/>
          <w:numId w:val="13"/>
        </w:numPr>
        <w:ind w:hanging="357"/>
        <w:rPr>
          <w:rFonts w:ascii="Open Sans" w:hAnsi="Open Sans" w:cs="Gill Sans"/>
          <w:color w:val="42484E"/>
          <w:lang w:val="fr-CA" w:bidi="fr-CA"/>
        </w:rPr>
      </w:pPr>
      <w:r w:rsidRPr="006025BF">
        <w:rPr>
          <w:rFonts w:ascii="Open Sans" w:hAnsi="Open Sans" w:cs="Gill Sans"/>
          <w:color w:val="42484E"/>
          <w:lang w:val="fr-CA" w:bidi="fr-CA"/>
        </w:rPr>
        <w:t>transférant des services décomptés d’autres régimes à prestations définies.</w:t>
      </w:r>
    </w:p>
    <w:p w14:paraId="17ACB799" w14:textId="77777777" w:rsidR="00FE70A7" w:rsidRPr="006025BF" w:rsidRDefault="00FE70A7" w:rsidP="00FE70A7">
      <w:pPr>
        <w:rPr>
          <w:rFonts w:ascii="Open Sans" w:hAnsi="Open Sans" w:cs="Gill Sans"/>
          <w:color w:val="42484E"/>
          <w:lang w:val="fr-CA" w:bidi="fr-CA"/>
        </w:rPr>
      </w:pPr>
    </w:p>
    <w:p w14:paraId="7C6C2970" w14:textId="77777777" w:rsidR="00260112" w:rsidRPr="006025BF" w:rsidRDefault="00260112" w:rsidP="00260112">
      <w:pPr>
        <w:pStyle w:val="ListParagraph"/>
        <w:numPr>
          <w:ilvl w:val="0"/>
          <w:numId w:val="13"/>
        </w:numPr>
        <w:rPr>
          <w:rFonts w:ascii="Open Sans" w:hAnsi="Open Sans" w:cs="Gill Sans"/>
          <w:color w:val="42484E"/>
          <w:lang w:val="fr-CA" w:bidi="fr-CA"/>
        </w:rPr>
      </w:pPr>
      <w:r w:rsidRPr="006025BF">
        <w:rPr>
          <w:rFonts w:ascii="Open Sans" w:hAnsi="Open Sans" w:cs="Gill Sans"/>
          <w:color w:val="42484E"/>
          <w:lang w:val="fr-CA" w:bidi="fr-CA"/>
        </w:rPr>
        <w:t>La protection contre l’inflation fait partie de votre régime de retraite. Durant la retraite :</w:t>
      </w:r>
    </w:p>
    <w:p w14:paraId="5C7EB814" w14:textId="77777777" w:rsidR="00260112" w:rsidRPr="006025BF" w:rsidRDefault="00260112" w:rsidP="00260112">
      <w:pPr>
        <w:pStyle w:val="ListParagraph"/>
        <w:numPr>
          <w:ilvl w:val="1"/>
          <w:numId w:val="13"/>
        </w:numPr>
        <w:rPr>
          <w:rFonts w:ascii="Open Sans" w:hAnsi="Open Sans" w:cs="Gill Sans"/>
          <w:color w:val="42484E"/>
          <w:lang w:val="fr-CA" w:bidi="fr-CA"/>
        </w:rPr>
      </w:pPr>
      <w:r w:rsidRPr="006025BF">
        <w:rPr>
          <w:rFonts w:ascii="Open Sans" w:hAnsi="Open Sans" w:cs="Gill Sans"/>
          <w:color w:val="42484E"/>
          <w:lang w:val="fr-CA" w:bidi="fr-CA"/>
        </w:rPr>
        <w:t>Les services décomptés avant 2010 sont pleinement protégés contre l’augmentation du coût de la vie.</w:t>
      </w:r>
    </w:p>
    <w:p w14:paraId="0468C3FE" w14:textId="77777777" w:rsidR="00260112" w:rsidRPr="006025BF" w:rsidRDefault="00260112" w:rsidP="00260112">
      <w:pPr>
        <w:pStyle w:val="ListParagraph"/>
        <w:numPr>
          <w:ilvl w:val="1"/>
          <w:numId w:val="13"/>
        </w:numPr>
        <w:rPr>
          <w:rFonts w:ascii="Open Sans" w:hAnsi="Open Sans" w:cs="Gill Sans"/>
          <w:color w:val="42484E"/>
          <w:lang w:val="fr-CA" w:bidi="fr-CA"/>
        </w:rPr>
      </w:pPr>
      <w:r w:rsidRPr="006025BF">
        <w:rPr>
          <w:rFonts w:ascii="Open Sans" w:hAnsi="Open Sans" w:cs="Gill Sans"/>
          <w:color w:val="42484E"/>
          <w:lang w:val="fr-CA" w:bidi="fr-CA"/>
        </w:rPr>
        <w:t xml:space="preserve">La protection contre l’inflation pour les services décomptés après 2009 dépend de l’état de la capitalisation du régime. </w:t>
      </w:r>
    </w:p>
    <w:p w14:paraId="423389E4" w14:textId="77777777" w:rsidR="00260112" w:rsidRPr="006025BF" w:rsidRDefault="00260112" w:rsidP="00260112">
      <w:pPr>
        <w:rPr>
          <w:rFonts w:ascii="Open Sans" w:hAnsi="Open Sans" w:cs="Gill Sans"/>
          <w:color w:val="42484E"/>
          <w:lang w:val="fr-CA" w:bidi="fr-CA"/>
        </w:rPr>
      </w:pPr>
    </w:p>
    <w:p w14:paraId="4E3DC685" w14:textId="6A2F6497" w:rsidR="00260112" w:rsidRPr="006025BF" w:rsidRDefault="00260112" w:rsidP="00260112">
      <w:pPr>
        <w:pStyle w:val="ListParagraph"/>
        <w:numPr>
          <w:ilvl w:val="0"/>
          <w:numId w:val="13"/>
        </w:numPr>
        <w:rPr>
          <w:rFonts w:ascii="Open Sans" w:hAnsi="Open Sans" w:cs="Gill Sans"/>
          <w:color w:val="42484E"/>
          <w:lang w:val="fr-CA" w:bidi="fr-CA"/>
        </w:rPr>
      </w:pPr>
      <w:r w:rsidRPr="00495816">
        <w:rPr>
          <w:rFonts w:ascii="Open Sans" w:hAnsi="Open Sans" w:cs="Gill Sans"/>
          <w:lang w:val="fr-CA" w:bidi="fr-CA"/>
        </w:rPr>
        <w:t xml:space="preserve">Le versement de votre rente du RREO ne commencera pas automatiquement. Vous devez faire votre demande de rente </w:t>
      </w:r>
      <w:r w:rsidR="006025BF" w:rsidRPr="00495816">
        <w:rPr>
          <w:rFonts w:ascii="Open Sans" w:hAnsi="Open Sans" w:cs="Gill Sans"/>
          <w:lang w:val="fr-CA" w:bidi="fr-CA"/>
        </w:rPr>
        <w:t>en accédant à votre</w:t>
      </w:r>
      <w:r w:rsidRPr="00495816">
        <w:rPr>
          <w:rFonts w:ascii="Open Sans" w:hAnsi="Open Sans" w:cs="Gill Sans"/>
          <w:lang w:val="fr-CA" w:bidi="fr-CA"/>
        </w:rPr>
        <w:t xml:space="preserve"> compte du RREO </w:t>
      </w:r>
      <w:r w:rsidR="006025BF" w:rsidRPr="00495816">
        <w:rPr>
          <w:rFonts w:ascii="Open Sans" w:hAnsi="Open Sans" w:cs="Gill Sans"/>
          <w:lang w:val="fr-CA" w:bidi="fr-CA"/>
        </w:rPr>
        <w:t xml:space="preserve">en ligne </w:t>
      </w:r>
      <w:r w:rsidRPr="00495816">
        <w:rPr>
          <w:rFonts w:ascii="Open Sans" w:hAnsi="Open Sans" w:cs="Gill Sans"/>
          <w:lang w:val="fr-CA" w:bidi="fr-CA"/>
        </w:rPr>
        <w:t>jusqu’à quatre mois avant le premier versement de votre rente.</w:t>
      </w:r>
      <w:r w:rsidRPr="006025BF">
        <w:rPr>
          <w:rFonts w:ascii="Open Sans" w:hAnsi="Open Sans" w:cs="Gill Sans"/>
          <w:color w:val="42484E"/>
          <w:lang w:val="fr-CA" w:bidi="fr-CA"/>
        </w:rPr>
        <w:t xml:space="preserve"> </w:t>
      </w:r>
    </w:p>
    <w:p w14:paraId="32F5BC3A" w14:textId="77777777" w:rsidR="00260112" w:rsidRPr="006025BF" w:rsidRDefault="00260112" w:rsidP="00260112">
      <w:pPr>
        <w:rPr>
          <w:rFonts w:ascii="Open Sans" w:hAnsi="Open Sans" w:cs="Gill Sans"/>
          <w:color w:val="42484E"/>
          <w:lang w:val="fr-CA" w:bidi="fr-CA"/>
        </w:rPr>
      </w:pPr>
    </w:p>
    <w:p w14:paraId="1842C3BB" w14:textId="77777777" w:rsidR="00260112" w:rsidRPr="006025BF" w:rsidRDefault="00260112" w:rsidP="00260112">
      <w:pPr>
        <w:pStyle w:val="ListParagraph"/>
        <w:numPr>
          <w:ilvl w:val="0"/>
          <w:numId w:val="13"/>
        </w:numPr>
        <w:rPr>
          <w:rFonts w:ascii="Open Sans" w:hAnsi="Open Sans" w:cs="Gill Sans"/>
          <w:color w:val="42484E"/>
          <w:lang w:val="fr-CA" w:bidi="fr-CA"/>
        </w:rPr>
      </w:pPr>
      <w:r w:rsidRPr="006025BF">
        <w:rPr>
          <w:rFonts w:ascii="Open Sans" w:hAnsi="Open Sans" w:cs="Gill Sans"/>
          <w:color w:val="42484E"/>
          <w:lang w:val="fr-CA" w:bidi="fr-CA"/>
        </w:rPr>
        <w:t>Votre rente du RREO n’est qu’un élément de votre situation financière globale. Tenez compte des éléments suivants :</w:t>
      </w:r>
    </w:p>
    <w:p w14:paraId="545B9B6C" w14:textId="77777777" w:rsidR="00260112" w:rsidRPr="006025BF" w:rsidRDefault="00260112" w:rsidP="00260112">
      <w:pPr>
        <w:pStyle w:val="ListParagraph"/>
        <w:numPr>
          <w:ilvl w:val="1"/>
          <w:numId w:val="13"/>
        </w:numPr>
        <w:rPr>
          <w:rFonts w:ascii="Open Sans" w:hAnsi="Open Sans" w:cs="Gill Sans"/>
          <w:color w:val="42484E"/>
          <w:lang w:val="fr-CA" w:bidi="fr-CA"/>
        </w:rPr>
      </w:pPr>
      <w:r w:rsidRPr="006025BF">
        <w:rPr>
          <w:rFonts w:ascii="Open Sans" w:hAnsi="Open Sans" w:cs="Gill Sans"/>
          <w:color w:val="42484E"/>
          <w:lang w:val="fr-CA" w:bidi="fr-CA"/>
        </w:rPr>
        <w:t xml:space="preserve">Divers revenus de retraite (rente du RREO, épargne personnelle, RPC, SV) et répercussions fiscales. </w:t>
      </w:r>
    </w:p>
    <w:p w14:paraId="59666ACE" w14:textId="77777777" w:rsidR="00260112" w:rsidRPr="006025BF" w:rsidRDefault="00260112" w:rsidP="00260112">
      <w:pPr>
        <w:pStyle w:val="ListParagraph"/>
        <w:numPr>
          <w:ilvl w:val="1"/>
          <w:numId w:val="13"/>
        </w:numPr>
        <w:rPr>
          <w:rFonts w:ascii="Open Sans" w:hAnsi="Open Sans" w:cs="Gill Sans"/>
          <w:color w:val="42484E"/>
          <w:lang w:val="fr-CA" w:bidi="fr-CA"/>
        </w:rPr>
      </w:pPr>
      <w:r w:rsidRPr="006025BF">
        <w:rPr>
          <w:rFonts w:ascii="Open Sans" w:hAnsi="Open Sans" w:cs="Gill Sans"/>
          <w:color w:val="42484E"/>
          <w:lang w:val="fr-CA" w:bidi="fr-CA"/>
        </w:rPr>
        <w:t>Une épargne personnelle qui tient compte de votre santé, de vos dépenses et du niveau de protection contre l’inflation afin de répondre aux besoins liés à votre style de vie souhaité à la retraite.</w:t>
      </w:r>
    </w:p>
    <w:p w14:paraId="49AD8541" w14:textId="77777777" w:rsidR="00260112" w:rsidRDefault="00260112" w:rsidP="00260112">
      <w:pPr>
        <w:pStyle w:val="ListParagraph"/>
        <w:ind w:left="1440"/>
        <w:rPr>
          <w:rFonts w:ascii="Open Sans" w:hAnsi="Open Sans" w:cs="Gill Sans"/>
          <w:color w:val="42484E"/>
          <w:lang w:val="fr-CA" w:bidi="fr-CA"/>
        </w:rPr>
      </w:pPr>
    </w:p>
    <w:p w14:paraId="6C7D1324" w14:textId="77777777" w:rsidR="006025BF" w:rsidRDefault="006025BF" w:rsidP="00260112">
      <w:pPr>
        <w:pStyle w:val="ListParagraph"/>
        <w:ind w:left="1440"/>
        <w:rPr>
          <w:rFonts w:ascii="Open Sans" w:hAnsi="Open Sans" w:cs="Gill Sans"/>
          <w:color w:val="42484E"/>
          <w:lang w:val="fr-CA" w:bidi="fr-CA"/>
        </w:rPr>
      </w:pPr>
    </w:p>
    <w:p w14:paraId="15544FCE" w14:textId="77777777" w:rsidR="006025BF" w:rsidRDefault="006025BF" w:rsidP="00260112">
      <w:pPr>
        <w:pStyle w:val="ListParagraph"/>
        <w:ind w:left="1440"/>
        <w:rPr>
          <w:rFonts w:ascii="Open Sans" w:hAnsi="Open Sans" w:cs="Gill Sans"/>
          <w:color w:val="42484E"/>
          <w:lang w:val="fr-CA" w:bidi="fr-CA"/>
        </w:rPr>
      </w:pPr>
    </w:p>
    <w:p w14:paraId="5E8651E6" w14:textId="77777777" w:rsidR="006025BF" w:rsidRDefault="006025BF" w:rsidP="00260112">
      <w:pPr>
        <w:pStyle w:val="ListParagraph"/>
        <w:ind w:left="1440"/>
        <w:rPr>
          <w:rFonts w:ascii="Open Sans" w:hAnsi="Open Sans" w:cs="Gill Sans"/>
          <w:color w:val="42484E"/>
          <w:lang w:val="fr-CA" w:bidi="fr-CA"/>
        </w:rPr>
      </w:pPr>
    </w:p>
    <w:p w14:paraId="6200CA01" w14:textId="77777777" w:rsidR="006025BF" w:rsidRDefault="006025BF" w:rsidP="00260112">
      <w:pPr>
        <w:pStyle w:val="ListParagraph"/>
        <w:ind w:left="1440"/>
        <w:rPr>
          <w:rFonts w:ascii="Open Sans" w:hAnsi="Open Sans" w:cs="Gill Sans"/>
          <w:color w:val="42484E"/>
          <w:lang w:val="fr-CA" w:bidi="fr-CA"/>
        </w:rPr>
      </w:pPr>
    </w:p>
    <w:p w14:paraId="53528651" w14:textId="77777777" w:rsidR="006025BF" w:rsidRDefault="006025BF" w:rsidP="00260112">
      <w:pPr>
        <w:pStyle w:val="ListParagraph"/>
        <w:ind w:left="1440"/>
        <w:rPr>
          <w:rFonts w:ascii="Open Sans" w:hAnsi="Open Sans" w:cs="Gill Sans"/>
          <w:color w:val="42484E"/>
          <w:lang w:val="fr-CA" w:bidi="fr-CA"/>
        </w:rPr>
      </w:pPr>
    </w:p>
    <w:p w14:paraId="1FF7B83B" w14:textId="77777777" w:rsidR="006025BF" w:rsidRDefault="006025BF" w:rsidP="00260112">
      <w:pPr>
        <w:pStyle w:val="ListParagraph"/>
        <w:ind w:left="1440"/>
        <w:rPr>
          <w:rFonts w:ascii="Open Sans" w:hAnsi="Open Sans" w:cs="Gill Sans"/>
          <w:color w:val="42484E"/>
          <w:lang w:val="fr-CA" w:bidi="fr-CA"/>
        </w:rPr>
      </w:pPr>
    </w:p>
    <w:p w14:paraId="7D636B00" w14:textId="77777777" w:rsidR="006025BF" w:rsidRDefault="006025BF" w:rsidP="00260112">
      <w:pPr>
        <w:pStyle w:val="ListParagraph"/>
        <w:ind w:left="1440"/>
        <w:rPr>
          <w:rFonts w:ascii="Open Sans" w:hAnsi="Open Sans" w:cs="Gill Sans"/>
          <w:color w:val="42484E"/>
          <w:lang w:val="fr-CA" w:bidi="fr-CA"/>
        </w:rPr>
      </w:pPr>
    </w:p>
    <w:p w14:paraId="076EE729" w14:textId="77777777" w:rsidR="006025BF" w:rsidRDefault="006025BF" w:rsidP="006025BF">
      <w:pPr>
        <w:rPr>
          <w:rFonts w:ascii="Open Sans" w:hAnsi="Open Sans" w:cs="Gill Sans"/>
          <w:color w:val="42484E"/>
          <w:lang w:val="fr-CA" w:bidi="fr-CA"/>
        </w:rPr>
      </w:pPr>
    </w:p>
    <w:p w14:paraId="44A6C7CB" w14:textId="77777777" w:rsidR="006025BF" w:rsidRDefault="006025BF" w:rsidP="006025BF">
      <w:pPr>
        <w:rPr>
          <w:rFonts w:ascii="Open Sans" w:hAnsi="Open Sans" w:cs="Gill Sans"/>
          <w:color w:val="42484E"/>
          <w:lang w:val="fr-CA" w:bidi="fr-CA"/>
        </w:rPr>
      </w:pPr>
    </w:p>
    <w:p w14:paraId="4D4B7D8E" w14:textId="77777777" w:rsidR="006025BF" w:rsidRDefault="006025BF" w:rsidP="006025BF">
      <w:pPr>
        <w:rPr>
          <w:rFonts w:ascii="Open Sans" w:hAnsi="Open Sans" w:cs="Gill Sans"/>
          <w:color w:val="42484E"/>
          <w:lang w:val="fr-CA" w:bidi="fr-CA"/>
        </w:rPr>
      </w:pPr>
    </w:p>
    <w:p w14:paraId="33F4C06B" w14:textId="77777777" w:rsidR="006025BF" w:rsidRPr="006025BF" w:rsidRDefault="006025BF" w:rsidP="006025BF">
      <w:pPr>
        <w:rPr>
          <w:rFonts w:ascii="Open Sans" w:hAnsi="Open Sans" w:cs="Gill Sans"/>
          <w:color w:val="42484E"/>
          <w:lang w:val="fr-CA" w:bidi="fr-CA"/>
        </w:rPr>
      </w:pPr>
    </w:p>
    <w:p w14:paraId="491C423E" w14:textId="3732F090" w:rsidR="00260112" w:rsidRPr="00495816" w:rsidRDefault="00260112" w:rsidP="006025BF">
      <w:pPr>
        <w:pStyle w:val="ListParagraph"/>
        <w:keepNext/>
        <w:keepLines/>
        <w:numPr>
          <w:ilvl w:val="0"/>
          <w:numId w:val="13"/>
        </w:numPr>
        <w:ind w:hanging="357"/>
        <w:rPr>
          <w:rFonts w:ascii="Open Sans" w:hAnsi="Open Sans" w:cs="Gill Sans"/>
          <w:lang w:val="fr-CA" w:bidi="fr-CA"/>
        </w:rPr>
      </w:pPr>
      <w:r w:rsidRPr="00495816">
        <w:rPr>
          <w:rFonts w:ascii="Open Sans" w:hAnsi="Open Sans" w:cs="Gill Sans"/>
          <w:lang w:val="fr-CA" w:bidi="fr-CA"/>
        </w:rPr>
        <w:t>Votre compte du RREO en ligne vous permet de :</w:t>
      </w:r>
    </w:p>
    <w:p w14:paraId="5C262375" w14:textId="77777777" w:rsidR="00260112" w:rsidRPr="00495816" w:rsidRDefault="00260112" w:rsidP="00495816">
      <w:pPr>
        <w:pStyle w:val="ListParagraph"/>
        <w:keepNext/>
        <w:keepLines/>
        <w:numPr>
          <w:ilvl w:val="1"/>
          <w:numId w:val="13"/>
        </w:numPr>
        <w:rPr>
          <w:rFonts w:ascii="Open Sans" w:hAnsi="Open Sans" w:cs="Gill Sans"/>
          <w:lang w:val="fr-CA" w:bidi="fr-CA"/>
        </w:rPr>
      </w:pPr>
      <w:r w:rsidRPr="00495816">
        <w:rPr>
          <w:rFonts w:ascii="Open Sans" w:hAnsi="Open Sans" w:cs="Gill Sans"/>
          <w:lang w:val="fr-CA" w:bidi="fr-CA"/>
        </w:rPr>
        <w:t>Tenir à jour votre profil.</w:t>
      </w:r>
    </w:p>
    <w:p w14:paraId="3E2B1EAA" w14:textId="77777777" w:rsidR="00260112" w:rsidRPr="00495816" w:rsidRDefault="00260112" w:rsidP="00495816">
      <w:pPr>
        <w:pStyle w:val="ListParagraph"/>
        <w:keepNext/>
        <w:keepLines/>
        <w:numPr>
          <w:ilvl w:val="1"/>
          <w:numId w:val="13"/>
        </w:numPr>
        <w:rPr>
          <w:rFonts w:ascii="Open Sans" w:hAnsi="Open Sans" w:cs="Gill Sans"/>
          <w:lang w:val="fr-CA" w:bidi="fr-CA"/>
        </w:rPr>
      </w:pPr>
      <w:r w:rsidRPr="00495816">
        <w:rPr>
          <w:rFonts w:ascii="Open Sans" w:hAnsi="Open Sans" w:cs="Gill Sans"/>
          <w:lang w:val="fr-CA" w:bidi="fr-CA"/>
        </w:rPr>
        <w:t>Désigner un bénéficiaire (autre que votre conjoint, qui est automatiquement admissible).</w:t>
      </w:r>
    </w:p>
    <w:p w14:paraId="17442D76" w14:textId="5CC873CB" w:rsidR="00260112" w:rsidRPr="00495816" w:rsidRDefault="00260112" w:rsidP="00495816">
      <w:pPr>
        <w:pStyle w:val="ListParagraph"/>
        <w:keepNext/>
        <w:keepLines/>
        <w:numPr>
          <w:ilvl w:val="1"/>
          <w:numId w:val="13"/>
        </w:numPr>
        <w:rPr>
          <w:rFonts w:ascii="Open Sans" w:hAnsi="Open Sans" w:cs="Gill Sans"/>
          <w:lang w:val="fr-CA" w:bidi="fr-CA"/>
        </w:rPr>
      </w:pPr>
      <w:r w:rsidRPr="00495816">
        <w:rPr>
          <w:rFonts w:ascii="Open Sans" w:hAnsi="Open Sans" w:cs="Gill Sans"/>
          <w:lang w:val="fr-CA" w:bidi="fr-CA"/>
        </w:rPr>
        <w:t>Choisir une option de rente de sur</w:t>
      </w:r>
      <w:r w:rsidR="00453E8B">
        <w:rPr>
          <w:rFonts w:ascii="Open Sans" w:hAnsi="Open Sans" w:cs="Gill Sans"/>
          <w:lang w:val="fr-CA" w:bidi="fr-CA"/>
        </w:rPr>
        <w:t xml:space="preserve">vivant (établie automatiquement </w:t>
      </w:r>
      <w:r w:rsidRPr="00495816">
        <w:rPr>
          <w:rFonts w:ascii="Open Sans" w:hAnsi="Open Sans" w:cs="Gill Sans"/>
          <w:lang w:val="fr-CA" w:bidi="fr-CA"/>
        </w:rPr>
        <w:t>à 60 %).</w:t>
      </w:r>
    </w:p>
    <w:p w14:paraId="2D90C935" w14:textId="77777777" w:rsidR="00260112" w:rsidRPr="00495816" w:rsidRDefault="00260112" w:rsidP="00495816">
      <w:pPr>
        <w:pStyle w:val="ListParagraph"/>
        <w:keepNext/>
        <w:keepLines/>
        <w:numPr>
          <w:ilvl w:val="1"/>
          <w:numId w:val="13"/>
        </w:numPr>
        <w:rPr>
          <w:rFonts w:ascii="Open Sans" w:hAnsi="Open Sans" w:cs="Gill Sans"/>
          <w:lang w:val="fr-CA" w:bidi="fr-CA"/>
        </w:rPr>
      </w:pPr>
      <w:r w:rsidRPr="00495816">
        <w:rPr>
          <w:rFonts w:ascii="Open Sans" w:hAnsi="Open Sans" w:cs="Gill Sans"/>
          <w:lang w:val="fr-CA" w:bidi="fr-CA"/>
        </w:rPr>
        <w:t>Explorer vos options de rachat.</w:t>
      </w:r>
    </w:p>
    <w:p w14:paraId="2683B8B8" w14:textId="05429915" w:rsidR="00260112" w:rsidRPr="00495816" w:rsidRDefault="00260112" w:rsidP="00495816">
      <w:pPr>
        <w:pStyle w:val="ListParagraph"/>
        <w:keepNext/>
        <w:keepLines/>
        <w:numPr>
          <w:ilvl w:val="1"/>
          <w:numId w:val="13"/>
        </w:numPr>
        <w:rPr>
          <w:rFonts w:ascii="Open Sans" w:hAnsi="Open Sans" w:cs="Gill Sans"/>
          <w:lang w:val="fr-CA" w:bidi="fr-CA"/>
        </w:rPr>
      </w:pPr>
      <w:r w:rsidRPr="00495816">
        <w:rPr>
          <w:rFonts w:ascii="Open Sans" w:hAnsi="Open Sans" w:cs="Gill Sans"/>
          <w:lang w:val="fr-CA" w:bidi="fr-CA"/>
        </w:rPr>
        <w:t xml:space="preserve">Créer et comparer des scénarios de retraite à l’aide du calculateur </w:t>
      </w:r>
      <w:r w:rsidR="00495816">
        <w:rPr>
          <w:rFonts w:ascii="Open Sans" w:hAnsi="Open Sans" w:cs="Gill Sans"/>
          <w:lang w:val="fr-CA" w:bidi="fr-CA"/>
        </w:rPr>
        <w:t xml:space="preserve">    </w:t>
      </w:r>
      <w:r w:rsidRPr="00495816">
        <w:rPr>
          <w:rFonts w:ascii="Open Sans" w:hAnsi="Open Sans" w:cs="Gill Sans"/>
          <w:lang w:val="fr-CA" w:bidi="fr-CA"/>
        </w:rPr>
        <w:t>de rente.</w:t>
      </w:r>
    </w:p>
    <w:p w14:paraId="265222BE" w14:textId="77777777" w:rsidR="00260112" w:rsidRPr="00495816" w:rsidRDefault="00260112" w:rsidP="00495816">
      <w:pPr>
        <w:pStyle w:val="ListParagraph"/>
        <w:keepNext/>
        <w:keepLines/>
        <w:numPr>
          <w:ilvl w:val="1"/>
          <w:numId w:val="13"/>
        </w:numPr>
        <w:rPr>
          <w:rFonts w:ascii="Open Sans" w:hAnsi="Open Sans" w:cs="Gill Sans"/>
          <w:lang w:val="fr-CA" w:bidi="fr-CA"/>
        </w:rPr>
      </w:pPr>
      <w:r w:rsidRPr="00495816">
        <w:rPr>
          <w:rFonts w:ascii="Open Sans" w:hAnsi="Open Sans" w:cs="Gill Sans"/>
          <w:lang w:val="fr-CA" w:bidi="fr-CA"/>
        </w:rPr>
        <w:t>Présenter votre demande de rente.</w:t>
      </w:r>
    </w:p>
    <w:p w14:paraId="4251087F" w14:textId="15CE584A" w:rsidR="009B088C" w:rsidRPr="006025BF" w:rsidRDefault="009B088C" w:rsidP="00260112">
      <w:pPr>
        <w:ind w:left="360"/>
        <w:rPr>
          <w:rFonts w:ascii="Open Sans" w:hAnsi="Open Sans" w:cs="Gill Sans"/>
          <w:color w:val="42484E"/>
          <w:lang w:val="fr-CA"/>
        </w:rPr>
      </w:pPr>
      <w:bookmarkStart w:id="0" w:name="_GoBack"/>
      <w:bookmarkEnd w:id="0"/>
    </w:p>
    <w:sectPr w:rsidR="009B088C" w:rsidRPr="006025BF" w:rsidSect="00453E8B">
      <w:headerReference w:type="default" r:id="rId8"/>
      <w:footerReference w:type="even" r:id="rId9"/>
      <w:footerReference w:type="default" r:id="rId10"/>
      <w:pgSz w:w="12240" w:h="15800"/>
      <w:pgMar w:top="1440" w:right="171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AB625" w14:textId="77777777" w:rsidR="008F3432" w:rsidRDefault="008F3432" w:rsidP="0048320C">
      <w:r>
        <w:separator/>
      </w:r>
    </w:p>
  </w:endnote>
  <w:endnote w:type="continuationSeparator" w:id="0">
    <w:p w14:paraId="2DC09BA0" w14:textId="77777777" w:rsidR="008F3432" w:rsidRDefault="008F3432" w:rsidP="0048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905B5" w14:textId="77777777" w:rsidR="005705EF" w:rsidRPr="005705EF" w:rsidRDefault="005705EF" w:rsidP="008E2C09">
    <w:pPr>
      <w:pStyle w:val="Footer"/>
      <w:framePr w:wrap="around" w:vAnchor="text" w:hAnchor="margin" w:y="1"/>
      <w:rPr>
        <w:rStyle w:val="PageNumber"/>
        <w:rFonts w:ascii="Open Sans" w:hAnsi="Open Sans"/>
        <w:b/>
        <w:color w:val="808080" w:themeColor="background1" w:themeShade="80"/>
      </w:rPr>
    </w:pPr>
    <w:r w:rsidRPr="005705EF">
      <w:rPr>
        <w:rStyle w:val="PageNumber"/>
        <w:rFonts w:ascii="Open Sans" w:hAnsi="Open Sans"/>
        <w:b/>
        <w:color w:val="808080" w:themeColor="background1" w:themeShade="80"/>
      </w:rPr>
      <w:fldChar w:fldCharType="begin"/>
    </w:r>
    <w:r w:rsidRPr="005705EF">
      <w:rPr>
        <w:rStyle w:val="PageNumber"/>
        <w:rFonts w:ascii="Open Sans" w:hAnsi="Open Sans"/>
        <w:b/>
        <w:color w:val="808080" w:themeColor="background1" w:themeShade="80"/>
      </w:rPr>
      <w:instrText xml:space="preserve">PAGE  </w:instrText>
    </w:r>
    <w:r w:rsidRPr="005705EF">
      <w:rPr>
        <w:rStyle w:val="PageNumber"/>
        <w:rFonts w:ascii="Open Sans" w:hAnsi="Open Sans"/>
        <w:b/>
        <w:color w:val="808080" w:themeColor="background1" w:themeShade="80"/>
      </w:rPr>
      <w:fldChar w:fldCharType="separate"/>
    </w:r>
    <w:r w:rsidR="008E2C09">
      <w:rPr>
        <w:rStyle w:val="PageNumber"/>
        <w:rFonts w:ascii="Open Sans" w:hAnsi="Open Sans"/>
        <w:b/>
        <w:noProof/>
        <w:color w:val="808080" w:themeColor="background1" w:themeShade="80"/>
      </w:rPr>
      <w:t>2</w:t>
    </w:r>
    <w:r w:rsidRPr="005705EF">
      <w:rPr>
        <w:rStyle w:val="PageNumber"/>
        <w:rFonts w:ascii="Open Sans" w:hAnsi="Open Sans"/>
        <w:b/>
        <w:color w:val="808080" w:themeColor="background1" w:themeShade="80"/>
      </w:rPr>
      <w:fldChar w:fldCharType="end"/>
    </w:r>
  </w:p>
  <w:p w14:paraId="5129E78B" w14:textId="77777777" w:rsidR="005705EF" w:rsidRDefault="005705EF" w:rsidP="008E2C0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CC019" w14:textId="77777777" w:rsidR="005705EF" w:rsidRPr="008E2C09" w:rsidRDefault="005705EF" w:rsidP="000E4CB7">
    <w:pPr>
      <w:pStyle w:val="Footer"/>
      <w:framePr w:wrap="around" w:vAnchor="text" w:hAnchor="margin" w:y="90"/>
      <w:jc w:val="center"/>
      <w:rPr>
        <w:rStyle w:val="PageNumber"/>
        <w:rFonts w:ascii="Open Sans" w:hAnsi="Open Sans"/>
        <w:b/>
        <w:color w:val="FFFFFF" w:themeColor="background1"/>
      </w:rPr>
    </w:pPr>
    <w:r w:rsidRPr="008E2C09">
      <w:rPr>
        <w:rStyle w:val="PageNumber"/>
        <w:rFonts w:ascii="Open Sans" w:hAnsi="Open Sans"/>
        <w:b/>
        <w:color w:val="FFFFFF" w:themeColor="background1"/>
      </w:rPr>
      <w:fldChar w:fldCharType="begin"/>
    </w:r>
    <w:r w:rsidRPr="008E2C09">
      <w:rPr>
        <w:rStyle w:val="PageNumber"/>
        <w:rFonts w:ascii="Open Sans" w:hAnsi="Open Sans"/>
        <w:b/>
        <w:color w:val="FFFFFF" w:themeColor="background1"/>
      </w:rPr>
      <w:instrText xml:space="preserve">PAGE  </w:instrText>
    </w:r>
    <w:r w:rsidRPr="008E2C09">
      <w:rPr>
        <w:rStyle w:val="PageNumber"/>
        <w:rFonts w:ascii="Open Sans" w:hAnsi="Open Sans"/>
        <w:b/>
        <w:color w:val="FFFFFF" w:themeColor="background1"/>
      </w:rPr>
      <w:fldChar w:fldCharType="separate"/>
    </w:r>
    <w:r w:rsidR="00453E8B">
      <w:rPr>
        <w:rStyle w:val="PageNumber"/>
        <w:rFonts w:ascii="Open Sans" w:hAnsi="Open Sans"/>
        <w:b/>
        <w:noProof/>
        <w:color w:val="FFFFFF" w:themeColor="background1"/>
      </w:rPr>
      <w:t>1</w:t>
    </w:r>
    <w:r w:rsidRPr="008E2C09">
      <w:rPr>
        <w:rStyle w:val="PageNumber"/>
        <w:rFonts w:ascii="Open Sans" w:hAnsi="Open Sans"/>
        <w:b/>
        <w:color w:val="FFFFFF" w:themeColor="background1"/>
      </w:rPr>
      <w:fldChar w:fldCharType="end"/>
    </w:r>
  </w:p>
  <w:p w14:paraId="46960AE1" w14:textId="3A412467" w:rsidR="00BB7733" w:rsidRDefault="008E2C09" w:rsidP="008E2C09">
    <w:pPr>
      <w:pStyle w:val="Footer"/>
      <w:ind w:firstLine="360"/>
    </w:pPr>
    <w:r>
      <w:rPr>
        <w:rFonts w:ascii="Open Sans" w:hAnsi="Open Sans" w:cs="Gill Sans"/>
        <w:b/>
        <w:noProof/>
        <w:color w:val="256C8F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C8BFA90" wp14:editId="301CD260">
              <wp:simplePos x="0" y="0"/>
              <wp:positionH relativeFrom="margin">
                <wp:posOffset>-1028700</wp:posOffset>
              </wp:positionH>
              <wp:positionV relativeFrom="paragraph">
                <wp:posOffset>-286385</wp:posOffset>
              </wp:positionV>
              <wp:extent cx="7886700" cy="1371600"/>
              <wp:effectExtent l="0" t="0" r="38100" b="254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6700" cy="1371600"/>
                      </a:xfrm>
                      <a:prstGeom prst="rect">
                        <a:avLst/>
                      </a:prstGeom>
                      <a:solidFill>
                        <a:srgbClr val="256C8F"/>
                      </a:solidFill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2D9484" id="Rectangle 5" o:spid="_x0000_s1026" style="position:absolute;margin-left:-81pt;margin-top:-22.55pt;width:621pt;height:108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" fillcolor="#256c8f" strokecolor="#4579b8 [3044]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02EBE" w14:textId="77777777" w:rsidR="008F3432" w:rsidRDefault="008F3432" w:rsidP="0048320C">
      <w:r>
        <w:separator/>
      </w:r>
    </w:p>
  </w:footnote>
  <w:footnote w:type="continuationSeparator" w:id="0">
    <w:p w14:paraId="0E1D3B57" w14:textId="77777777" w:rsidR="008F3432" w:rsidRDefault="008F3432" w:rsidP="00483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77628" w14:textId="780F0705" w:rsidR="008E2C09" w:rsidRDefault="008E2C09">
    <w:pPr>
      <w:pStyle w:val="Header"/>
    </w:pPr>
    <w:r>
      <w:rPr>
        <w:rFonts w:ascii="Open Sans" w:hAnsi="Open Sans" w:cs="Gill Sans"/>
        <w:b/>
        <w:noProof/>
        <w:color w:val="256C8F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B99352" wp14:editId="4AD56CF6">
              <wp:simplePos x="0" y="0"/>
              <wp:positionH relativeFrom="column">
                <wp:posOffset>-457200</wp:posOffset>
              </wp:positionH>
              <wp:positionV relativeFrom="paragraph">
                <wp:posOffset>7620</wp:posOffset>
              </wp:positionV>
              <wp:extent cx="6743700" cy="5715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37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13A4F1" w14:textId="77777777" w:rsidR="00260112" w:rsidRPr="00453E8B" w:rsidRDefault="00260112" w:rsidP="00260112">
                          <w:pPr>
                            <w:rPr>
                              <w:rFonts w:ascii="Open Sans" w:hAnsi="Open Sans" w:cs="Gill Sans"/>
                              <w:b/>
                              <w:bCs/>
                              <w:caps/>
                              <w:color w:val="FFFFFF" w:themeColor="background1"/>
                              <w:sz w:val="44"/>
                              <w:szCs w:val="44"/>
                              <w:lang w:val="fr-CA" w:bidi="fr-CA"/>
                            </w:rPr>
                          </w:pPr>
                          <w:r w:rsidRPr="00453E8B">
                            <w:rPr>
                              <w:rFonts w:ascii="Open Sans" w:hAnsi="Open Sans" w:cs="Gill Sans"/>
                              <w:b/>
                              <w:bCs/>
                              <w:caps/>
                              <w:color w:val="FFFFFF" w:themeColor="background1"/>
                              <w:sz w:val="44"/>
                              <w:szCs w:val="44"/>
                              <w:lang w:val="fr-CA" w:bidi="fr-CA"/>
                            </w:rPr>
                            <w:t>Se préparer à la retraite</w:t>
                          </w:r>
                        </w:p>
                        <w:p w14:paraId="2F67DBC7" w14:textId="77777777" w:rsidR="008E2C09" w:rsidRPr="00453E8B" w:rsidRDefault="008E2C09">
                          <w:pPr>
                            <w:rPr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B993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36pt;margin-top:.6pt;width:531pt;height: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" filled="f" stroked="f">
              <v:textbox>
                <w:txbxContent>
                  <w:p w14:paraId="1D13A4F1" w14:textId="77777777" w:rsidR="00260112" w:rsidRPr="00260112" w:rsidRDefault="00260112" w:rsidP="00260112">
                    <w:pPr>
                      <w:rPr>
                        <w:rFonts w:ascii="Open Sans" w:hAnsi="Open Sans" w:cs="Gill Sans"/>
                        <w:b/>
                        <w:bCs/>
                        <w:caps/>
                        <w:color w:val="FFFFFF" w:themeColor="background1"/>
                        <w:sz w:val="44"/>
                        <w:szCs w:val="44"/>
                        <w:lang w:bidi="fr-CA"/>
                      </w:rPr>
                    </w:pPr>
                    <w:r w:rsidRPr="00260112">
                      <w:rPr>
                        <w:rFonts w:ascii="Open Sans" w:hAnsi="Open Sans" w:cs="Gill Sans"/>
                        <w:b/>
                        <w:bCs/>
                        <w:caps/>
                        <w:color w:val="FFFFFF" w:themeColor="background1"/>
                        <w:sz w:val="44"/>
                        <w:szCs w:val="44"/>
                        <w:lang w:bidi="fr-CA"/>
                      </w:rPr>
                      <w:t>Se préparer à la retraite</w:t>
                    </w:r>
                  </w:p>
                  <w:p w14:paraId="2F67DBC7" w14:textId="77777777" w:rsidR="008E2C09" w:rsidRDefault="008E2C09"/>
                </w:txbxContent>
              </v:textbox>
            </v:shape>
          </w:pict>
        </mc:Fallback>
      </mc:AlternateContent>
    </w:r>
    <w:r>
      <w:rPr>
        <w:rFonts w:ascii="Open Sans" w:hAnsi="Open Sans" w:cs="Gill Sans"/>
        <w:b/>
        <w:noProof/>
        <w:color w:val="256C8F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5C21CA" wp14:editId="1AE3A4F1">
              <wp:simplePos x="0" y="0"/>
              <wp:positionH relativeFrom="margin">
                <wp:posOffset>-914400</wp:posOffset>
              </wp:positionH>
              <wp:positionV relativeFrom="paragraph">
                <wp:posOffset>-449580</wp:posOffset>
              </wp:positionV>
              <wp:extent cx="7886700" cy="1371600"/>
              <wp:effectExtent l="0" t="0" r="38100" b="254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6700" cy="1371600"/>
                      </a:xfrm>
                      <a:prstGeom prst="rect">
                        <a:avLst/>
                      </a:prstGeom>
                      <a:solidFill>
                        <a:srgbClr val="256C8F"/>
                      </a:solidFill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BF0A31" id="Rectangle 2" o:spid="_x0000_s1026" style="position:absolute;margin-left:-1in;margin-top:-35.4pt;width:621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" fillcolor="#256c8f" strokecolor="#4579b8 [3044]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023FA"/>
    <w:multiLevelType w:val="hybridMultilevel"/>
    <w:tmpl w:val="E91671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BE0CFB"/>
    <w:multiLevelType w:val="hybridMultilevel"/>
    <w:tmpl w:val="74E85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D46C3"/>
    <w:multiLevelType w:val="hybridMultilevel"/>
    <w:tmpl w:val="C7640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5C375D"/>
    <w:multiLevelType w:val="hybridMultilevel"/>
    <w:tmpl w:val="5F5CCE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3E023C"/>
    <w:multiLevelType w:val="hybridMultilevel"/>
    <w:tmpl w:val="E5BE4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A098E"/>
    <w:multiLevelType w:val="hybridMultilevel"/>
    <w:tmpl w:val="A03834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3B0AC0"/>
    <w:multiLevelType w:val="hybridMultilevel"/>
    <w:tmpl w:val="12FE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86498"/>
    <w:multiLevelType w:val="hybridMultilevel"/>
    <w:tmpl w:val="D9FEA8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B53D69"/>
    <w:multiLevelType w:val="hybridMultilevel"/>
    <w:tmpl w:val="5420D8A8"/>
    <w:lvl w:ilvl="0" w:tplc="B262C8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890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923F1C"/>
    <w:multiLevelType w:val="hybridMultilevel"/>
    <w:tmpl w:val="B3C882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E10B9A"/>
    <w:multiLevelType w:val="hybridMultilevel"/>
    <w:tmpl w:val="7C369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522B3"/>
    <w:multiLevelType w:val="hybridMultilevel"/>
    <w:tmpl w:val="A4224260"/>
    <w:lvl w:ilvl="0" w:tplc="D7185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56BAD"/>
    <w:multiLevelType w:val="hybridMultilevel"/>
    <w:tmpl w:val="354635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12"/>
  </w:num>
  <w:num w:numId="10">
    <w:abstractNumId w:val="9"/>
  </w:num>
  <w:num w:numId="11">
    <w:abstractNumId w:val="8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R_METADATA_KEY" w:val="e2c2fec4-a22d-4d30-a07e-bb91f9422990"/>
  </w:docVars>
  <w:rsids>
    <w:rsidRoot w:val="00695BD7"/>
    <w:rsid w:val="000119DC"/>
    <w:rsid w:val="000E4CB7"/>
    <w:rsid w:val="00153E86"/>
    <w:rsid w:val="001E5AF8"/>
    <w:rsid w:val="002043AB"/>
    <w:rsid w:val="00260112"/>
    <w:rsid w:val="00351A71"/>
    <w:rsid w:val="00453E8B"/>
    <w:rsid w:val="0048320C"/>
    <w:rsid w:val="00495816"/>
    <w:rsid w:val="005705EF"/>
    <w:rsid w:val="0059482E"/>
    <w:rsid w:val="006025BF"/>
    <w:rsid w:val="00695BD7"/>
    <w:rsid w:val="007E2943"/>
    <w:rsid w:val="0088438C"/>
    <w:rsid w:val="008E2C09"/>
    <w:rsid w:val="008E3933"/>
    <w:rsid w:val="008F3432"/>
    <w:rsid w:val="008F6020"/>
    <w:rsid w:val="00961B1E"/>
    <w:rsid w:val="009B088C"/>
    <w:rsid w:val="009B4950"/>
    <w:rsid w:val="00A00677"/>
    <w:rsid w:val="00AC6E42"/>
    <w:rsid w:val="00B65D63"/>
    <w:rsid w:val="00BB7733"/>
    <w:rsid w:val="00C87624"/>
    <w:rsid w:val="00C92667"/>
    <w:rsid w:val="00CB45C7"/>
    <w:rsid w:val="00DA7AF0"/>
    <w:rsid w:val="00DD5314"/>
    <w:rsid w:val="00E41E5C"/>
    <w:rsid w:val="00F04D97"/>
    <w:rsid w:val="00F15859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9B6FD9B"/>
  <w14:defaultImageDpi w14:val="300"/>
  <w15:docId w15:val="{665BD6A2-CAB9-4670-96AE-170B9674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B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1E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E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E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E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E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E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32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20C"/>
  </w:style>
  <w:style w:type="paragraph" w:styleId="Footer">
    <w:name w:val="footer"/>
    <w:basedOn w:val="Normal"/>
    <w:link w:val="FooterChar"/>
    <w:uiPriority w:val="99"/>
    <w:unhideWhenUsed/>
    <w:rsid w:val="00483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20C"/>
  </w:style>
  <w:style w:type="character" w:styleId="PageNumber">
    <w:name w:val="page number"/>
    <w:basedOn w:val="DefaultParagraphFont"/>
    <w:uiPriority w:val="99"/>
    <w:semiHidden/>
    <w:unhideWhenUsed/>
    <w:rsid w:val="00BB7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5A31D3-EC8D-4618-8FFC-EA073E0B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Teachers' Pension Plan Board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Mariga</dc:creator>
  <cp:lastModifiedBy>Linda Keon</cp:lastModifiedBy>
  <cp:revision>5</cp:revision>
  <cp:lastPrinted>2015-11-23T15:48:00Z</cp:lastPrinted>
  <dcterms:created xsi:type="dcterms:W3CDTF">2018-08-09T19:51:00Z</dcterms:created>
  <dcterms:modified xsi:type="dcterms:W3CDTF">2018-08-13T14:37:00Z</dcterms:modified>
</cp:coreProperties>
</file>